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015"/>
      </w:tblGrid>
      <w:tr w:rsidR="003B278E" w:rsidTr="00D06992">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015" w:type="dxa"/>
            <w:tcMar>
              <w:left w:w="108" w:type="dxa"/>
              <w:right w:w="108" w:type="dxa"/>
            </w:tcMar>
            <w:vAlign w:val="center"/>
          </w:tcPr>
          <w:p w:rsidR="003B278E" w:rsidRDefault="00D06992">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安芸高田市長</w:t>
            </w:r>
            <w:bookmarkStart w:id="0" w:name="_GoBack"/>
            <w:bookmarkEnd w:id="0"/>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w:t>
      </w:r>
      <w:r w:rsidR="007C6468">
        <w:rPr>
          <w:rFonts w:hint="eastAsia"/>
          <w:color w:val="000000"/>
          <w:spacing w:val="2"/>
          <w:sz w:val="22"/>
          <w:szCs w:val="22"/>
        </w:rPr>
        <w:t>安芸高田市長</w:t>
      </w:r>
      <w:r>
        <w:rPr>
          <w:rFonts w:hint="eastAsia"/>
          <w:color w:val="000000"/>
          <w:spacing w:val="2"/>
          <w:sz w:val="22"/>
          <w:szCs w:val="22"/>
        </w:rPr>
        <w:t>の認定</w:t>
      </w:r>
      <w:r w:rsidR="00861C5F">
        <w:rPr>
          <w:rFonts w:hint="eastAsia"/>
          <w:color w:val="000000"/>
          <w:spacing w:val="2"/>
          <w:sz w:val="22"/>
          <w:szCs w:val="22"/>
        </w:rPr>
        <w:t>した</w:t>
      </w:r>
      <w:r>
        <w:rPr>
          <w:rFonts w:hint="eastAsia"/>
          <w:color w:val="000000"/>
          <w:spacing w:val="2"/>
          <w:sz w:val="22"/>
          <w:szCs w:val="22"/>
        </w:rPr>
        <w:t>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lastRenderedPageBreak/>
        <w:t>２　協定参加集落及びその他協定参加団体は、その分担業務に関し、協定の履行に影響を及ぼす事態が発生する恐れのあるときは、直ちにその旨を第９条に定める運営委員会に報告するものとする。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 xml:space="preserve">２　</w:t>
      </w:r>
      <w:r w:rsidR="007C6468">
        <w:rPr>
          <w:rFonts w:hint="eastAsia"/>
          <w:sz w:val="22"/>
          <w:szCs w:val="22"/>
        </w:rPr>
        <w:t>市</w:t>
      </w:r>
      <w:r>
        <w:rPr>
          <w:rFonts w:hint="eastAsia"/>
          <w:sz w:val="22"/>
          <w:szCs w:val="22"/>
        </w:rPr>
        <w:t>が管理する施設に関し、協定参加集落及びその他の協定参加団体が実施する工事によって生じた工作物等は、</w:t>
      </w:r>
      <w:r w:rsidR="007C6468">
        <w:rPr>
          <w:rFonts w:hint="eastAsia"/>
          <w:sz w:val="22"/>
          <w:szCs w:val="22"/>
        </w:rPr>
        <w:t>市</w:t>
      </w:r>
      <w:r>
        <w:rPr>
          <w:rFonts w:hint="eastAsia"/>
          <w:sz w:val="22"/>
          <w:szCs w:val="22"/>
        </w:rPr>
        <w:t>に無償で譲渡するものとする。その際には、あらかじめ</w:t>
      </w:r>
      <w:r w:rsidR="007C6468">
        <w:rPr>
          <w:rFonts w:hint="eastAsia"/>
          <w:sz w:val="22"/>
          <w:szCs w:val="22"/>
        </w:rPr>
        <w:t>市</w:t>
      </w:r>
      <w:r>
        <w:rPr>
          <w:rFonts w:hint="eastAsia"/>
          <w:sz w:val="22"/>
          <w:szCs w:val="22"/>
        </w:rPr>
        <w:t>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w:t>
      </w:r>
      <w:r w:rsidR="007C6468">
        <w:rPr>
          <w:rFonts w:hint="eastAsia"/>
          <w:sz w:val="22"/>
          <w:szCs w:val="22"/>
        </w:rPr>
        <w:t>市</w:t>
      </w:r>
      <w:r>
        <w:rPr>
          <w:rFonts w:hint="eastAsia"/>
          <w:sz w:val="22"/>
          <w:szCs w:val="22"/>
        </w:rPr>
        <w:t>に協議し、その指示を受けるとともに、工事が完了したときには、</w:t>
      </w:r>
      <w:r w:rsidR="007C6468">
        <w:rPr>
          <w:rFonts w:hint="eastAsia"/>
          <w:sz w:val="22"/>
          <w:szCs w:val="22"/>
        </w:rPr>
        <w:t>市</w:t>
      </w:r>
      <w:r>
        <w:rPr>
          <w:rFonts w:hint="eastAsia"/>
          <w:sz w:val="22"/>
          <w:szCs w:val="22"/>
        </w:rPr>
        <w:t>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lastRenderedPageBreak/>
              <w:t xml:space="preserve">２　</w:t>
            </w:r>
            <w:r w:rsidR="007C6468">
              <w:rPr>
                <w:rFonts w:hint="eastAsia"/>
                <w:i/>
                <w:iCs/>
              </w:rPr>
              <w:t>市</w:t>
            </w:r>
            <w:r>
              <w:rPr>
                <w:rFonts w:hint="eastAsia"/>
                <w:i/>
                <w:iCs/>
              </w:rPr>
              <w:t>又は土地改良区が管理する施設に関し、協定参加集落及びその他の協定参加団体が実施する工事によって生じた工作物等は、</w:t>
            </w:r>
            <w:r w:rsidR="007C6468">
              <w:rPr>
                <w:rFonts w:hint="eastAsia"/>
                <w:i/>
                <w:iCs/>
              </w:rPr>
              <w:t>市</w:t>
            </w:r>
            <w:r>
              <w:rPr>
                <w:rFonts w:hint="eastAsia"/>
                <w:i/>
                <w:iCs/>
              </w:rPr>
              <w:t>又は土地改良区に無償で譲渡するものとする。その際には、あらかじめ</w:t>
            </w:r>
            <w:r w:rsidR="007C6468">
              <w:rPr>
                <w:rFonts w:hint="eastAsia"/>
                <w:i/>
                <w:iCs/>
              </w:rPr>
              <w:t>市</w:t>
            </w:r>
            <w:r>
              <w:rPr>
                <w:rFonts w:hint="eastAsia"/>
                <w:i/>
                <w:iCs/>
              </w:rPr>
              <w:t>又は土地改良区と協議し、工作物等の譲渡に必要となる工作物等の所在、構造、規模、数量等が明示された図面等の書類（例：設計書、平面図、構造図等）の作成、譲渡の時期及びその他必要となる手続きについて、</w:t>
            </w:r>
            <w:r w:rsidR="007C6468">
              <w:rPr>
                <w:rFonts w:hint="eastAsia"/>
                <w:i/>
                <w:iCs/>
              </w:rPr>
              <w:t>市</w:t>
            </w:r>
            <w:r>
              <w:rPr>
                <w:rFonts w:hint="eastAsia"/>
                <w:i/>
                <w:iCs/>
              </w:rPr>
              <w:t>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w:t>
            </w:r>
            <w:r w:rsidR="007C6468">
              <w:rPr>
                <w:rFonts w:hint="eastAsia"/>
                <w:i/>
                <w:iCs/>
              </w:rPr>
              <w:t>市</w:t>
            </w:r>
            <w:r>
              <w:rPr>
                <w:rFonts w:hint="eastAsia"/>
                <w:i/>
                <w:iCs/>
              </w:rPr>
              <w:t>又は土地改良区に提出し、工事内容に変更が生じた場合には、あらかじめ、</w:t>
            </w:r>
            <w:r w:rsidR="007C6468">
              <w:rPr>
                <w:rFonts w:hint="eastAsia"/>
                <w:i/>
                <w:iCs/>
              </w:rPr>
              <w:t>市</w:t>
            </w:r>
            <w:r>
              <w:rPr>
                <w:rFonts w:hint="eastAsia"/>
                <w:i/>
                <w:iCs/>
              </w:rPr>
              <w:t>又は土地改良区に協議し、その指示を受けるとともに、工事が完了したときには、</w:t>
            </w:r>
            <w:r w:rsidR="007C6468">
              <w:rPr>
                <w:rFonts w:hint="eastAsia"/>
                <w:i/>
                <w:iCs/>
              </w:rPr>
              <w:t>市</w:t>
            </w:r>
            <w:r>
              <w:rPr>
                <w:rFonts w:hint="eastAsia"/>
                <w:i/>
                <w:iCs/>
              </w:rPr>
              <w:t>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w:t>
      </w:r>
      <w:r w:rsidR="007C6468">
        <w:rPr>
          <w:rFonts w:hint="eastAsia"/>
          <w:color w:val="000000"/>
          <w:sz w:val="22"/>
          <w:szCs w:val="22"/>
        </w:rPr>
        <w:t>市長</w:t>
      </w:r>
      <w:r>
        <w:rPr>
          <w:rFonts w:hint="eastAsia"/>
          <w:color w:val="000000"/>
          <w:sz w:val="22"/>
          <w:szCs w:val="22"/>
        </w:rPr>
        <w:t>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w:t>
            </w:r>
            <w:r w:rsidR="007C6468">
              <w:rPr>
                <w:rFonts w:hint="eastAsia"/>
                <w:i/>
                <w:iCs/>
                <w:spacing w:val="2"/>
              </w:rPr>
              <w:t>市長</w:t>
            </w:r>
            <w:r>
              <w:rPr>
                <w:rFonts w:hint="eastAsia"/>
                <w:i/>
                <w:iCs/>
                <w:spacing w:val="2"/>
              </w:rPr>
              <w:t>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rsidP="007C6468">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w:t>
      </w:r>
      <w:r w:rsidR="007C6468">
        <w:rPr>
          <w:rFonts w:hint="eastAsia"/>
          <w:color w:val="000000"/>
          <w:sz w:val="22"/>
          <w:szCs w:val="22"/>
        </w:rPr>
        <w:t>安芸高田市長</w:t>
      </w:r>
      <w:r>
        <w:rPr>
          <w:rFonts w:hint="eastAsia"/>
          <w:color w:val="000000"/>
          <w:sz w:val="22"/>
          <w:szCs w:val="22"/>
        </w:rPr>
        <w:t>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w:t>
            </w:r>
            <w:r w:rsidR="007C6468">
              <w:rPr>
                <w:rFonts w:hint="eastAsia"/>
                <w:i/>
                <w:iCs/>
              </w:rPr>
              <w:t>安芸高田市長</w:t>
            </w:r>
            <w:r>
              <w:rPr>
                <w:rFonts w:hint="eastAsia"/>
                <w:i/>
                <w:iCs/>
              </w:rPr>
              <w:t>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4C" w:rsidRDefault="00195A4C">
      <w:r>
        <w:separator/>
      </w:r>
    </w:p>
  </w:endnote>
  <w:endnote w:type="continuationSeparator" w:id="0">
    <w:p w:rsidR="00195A4C" w:rsidRDefault="0019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4C" w:rsidRDefault="00195A4C">
      <w:r>
        <w:rPr>
          <w:rFonts w:ascii="ＭＳ 明朝" w:hAnsi="Times New Roman" w:cs="Times New Roman"/>
          <w:sz w:val="2"/>
          <w:szCs w:val="2"/>
        </w:rPr>
        <w:continuationSeparator/>
      </w:r>
    </w:p>
  </w:footnote>
  <w:footnote w:type="continuationSeparator" w:id="0">
    <w:p w:rsidR="00195A4C" w:rsidRDefault="0019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A1"/>
    <w:rsid w:val="00043169"/>
    <w:rsid w:val="00084895"/>
    <w:rsid w:val="000B3797"/>
    <w:rsid w:val="00195A4C"/>
    <w:rsid w:val="001D6B4E"/>
    <w:rsid w:val="00246928"/>
    <w:rsid w:val="00270D17"/>
    <w:rsid w:val="002F2720"/>
    <w:rsid w:val="0033118D"/>
    <w:rsid w:val="003932C8"/>
    <w:rsid w:val="003B278E"/>
    <w:rsid w:val="003D0D5B"/>
    <w:rsid w:val="004E0540"/>
    <w:rsid w:val="005E13A1"/>
    <w:rsid w:val="0062290A"/>
    <w:rsid w:val="00696F2A"/>
    <w:rsid w:val="006A660E"/>
    <w:rsid w:val="006A7558"/>
    <w:rsid w:val="0074279C"/>
    <w:rsid w:val="007C6468"/>
    <w:rsid w:val="00861C5F"/>
    <w:rsid w:val="00873527"/>
    <w:rsid w:val="00875565"/>
    <w:rsid w:val="009B5DB9"/>
    <w:rsid w:val="00A248C0"/>
    <w:rsid w:val="00A8767F"/>
    <w:rsid w:val="00AC77E2"/>
    <w:rsid w:val="00BD3777"/>
    <w:rsid w:val="00D06992"/>
    <w:rsid w:val="00EB3A1B"/>
    <w:rsid w:val="00F17ECC"/>
    <w:rsid w:val="00F528E1"/>
    <w:rsid w:val="00F97B1A"/>
    <w:rsid w:val="00FD111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BFE75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5AC6-25DC-4410-B2E8-934C333C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2021-05-18T07:30:00Z</dcterms:modified>
</cp:coreProperties>
</file>