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1F" w:rsidRPr="00101871" w:rsidRDefault="00323D1F" w:rsidP="00323D1F">
      <w:pPr>
        <w:pStyle w:val="a6"/>
        <w:tabs>
          <w:tab w:val="clear" w:pos="4252"/>
          <w:tab w:val="clear" w:pos="8504"/>
        </w:tabs>
        <w:snapToGrid/>
        <w:rPr>
          <w:rFonts w:ascii="HG丸ｺﾞｼｯｸM-PRO" w:eastAsia="HG丸ｺﾞｼｯｸM-PRO"/>
          <w:b/>
          <w:sz w:val="24"/>
        </w:rPr>
      </w:pPr>
      <w:bookmarkStart w:id="0" w:name="_GoBack"/>
      <w:bookmarkEnd w:id="0"/>
      <w:r w:rsidRPr="00101871">
        <w:rPr>
          <w:rFonts w:ascii="HG丸ｺﾞｼｯｸM-PRO" w:eastAsia="HG丸ｺﾞｼｯｸM-PRO" w:hint="eastAsia"/>
          <w:b/>
          <w:sz w:val="24"/>
        </w:rPr>
        <w:t>構造設備等基準</w:t>
      </w:r>
    </w:p>
    <w:p w:rsidR="00323D1F" w:rsidRPr="00101871" w:rsidRDefault="00323D1F" w:rsidP="00323D1F">
      <w:pPr>
        <w:pStyle w:val="a6"/>
        <w:tabs>
          <w:tab w:val="clear" w:pos="4252"/>
          <w:tab w:val="clear" w:pos="8504"/>
        </w:tabs>
        <w:snapToGrid/>
        <w:rPr>
          <w:rFonts w:ascii="ＭＳ 明朝"/>
          <w:szCs w:val="21"/>
        </w:rPr>
      </w:pPr>
      <w:r w:rsidRPr="00101871">
        <w:rPr>
          <w:rFonts w:ascii="ＭＳ 明朝" w:hint="eastAsia"/>
          <w:b/>
          <w:szCs w:val="21"/>
        </w:rPr>
        <w:t>○　設置場所及び構造設備基準</w:t>
      </w:r>
      <w:r w:rsidRPr="00101871">
        <w:rPr>
          <w:rFonts w:ascii="ＭＳ 明朝" w:hint="eastAsia"/>
          <w:szCs w:val="21"/>
        </w:rPr>
        <w:t>（法第２条第２項，条例第２条）</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7294"/>
      </w:tblGrid>
      <w:tr w:rsidR="00323D1F" w:rsidRPr="00101871" w:rsidTr="002C0B00">
        <w:trPr>
          <w:trHeight w:val="412"/>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項</w:t>
            </w:r>
            <w:r w:rsidR="00F67DE4" w:rsidRPr="00101871">
              <w:rPr>
                <w:rFonts w:ascii="ＭＳ 明朝" w:hint="eastAsia"/>
                <w:sz w:val="20"/>
              </w:rPr>
              <w:t xml:space="preserve">　</w:t>
            </w:r>
            <w:r w:rsidRPr="00101871">
              <w:rPr>
                <w:rFonts w:ascii="ＭＳ 明朝" w:hint="eastAsia"/>
                <w:sz w:val="20"/>
              </w:rPr>
              <w:t>目</w:t>
            </w:r>
          </w:p>
        </w:tc>
        <w:tc>
          <w:tcPr>
            <w:tcW w:w="7294"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基　　　　　準</w:t>
            </w:r>
          </w:p>
        </w:tc>
      </w:tr>
      <w:tr w:rsidR="00323D1F" w:rsidRPr="00101871" w:rsidTr="002C0B00">
        <w:trPr>
          <w:trHeight w:val="418"/>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設置場所</w:t>
            </w:r>
          </w:p>
        </w:tc>
        <w:tc>
          <w:tcPr>
            <w:tcW w:w="7294" w:type="dxa"/>
            <w:vAlign w:val="center"/>
          </w:tcPr>
          <w:p w:rsidR="00323D1F" w:rsidRPr="00101871" w:rsidRDefault="00323D1F" w:rsidP="002C0B00">
            <w:pPr>
              <w:pStyle w:val="a6"/>
              <w:spacing w:line="240" w:lineRule="exact"/>
              <w:ind w:firstLineChars="100" w:firstLine="200"/>
              <w:rPr>
                <w:rFonts w:ascii="ＭＳ 明朝"/>
                <w:sz w:val="20"/>
              </w:rPr>
            </w:pPr>
            <w:r w:rsidRPr="00101871">
              <w:rPr>
                <w:rFonts w:ascii="ＭＳ 明朝" w:hint="eastAsia"/>
                <w:sz w:val="20"/>
              </w:rPr>
              <w:t>排水，換気，採光等が十分行え，入場者の衛生に支障ない場所に設置すること。</w:t>
            </w:r>
          </w:p>
        </w:tc>
      </w:tr>
      <w:tr w:rsidR="00323D1F" w:rsidRPr="00101871" w:rsidTr="002C0B00">
        <w:trPr>
          <w:trHeight w:val="3529"/>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施設全般</w:t>
            </w:r>
          </w:p>
        </w:tc>
        <w:tc>
          <w:tcPr>
            <w:tcW w:w="7294" w:type="dxa"/>
            <w:vAlign w:val="center"/>
          </w:tcPr>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十分な耐久性の材料で築造し，喫煙場所の床面は不燃材料又は難燃性材料で築造するなど適当な不燃措置を取ること。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床面は不浸透性材料で，床が地盤面から適当な高さ（概ね0.45ｍ以上）である等防湿上有効な措置を取ること。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清掃及び排水が容易にできる構造であること。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観覧室は舞台等の興行に直接関係する場所を除き，食堂，ロビー，便所及び売店等と隔壁等により区画すること。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食堂，売店又は食品販売設備は，便所の付近等不潔な場所に設けないこと。ただし，手洗場等の次室を設けた水洗便所で衛生上支障ない場合を除く。</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入場者の使用に供する座布団等を備える時，清潔で衛生的に保管できる専用の設備を設けること。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適当数の清掃用具及び必要に応じ散水用具を備え，これらをための衛生的に保管できる設備を設けること。</w:t>
            </w:r>
          </w:p>
          <w:p w:rsidR="00323D1F" w:rsidRPr="00101871" w:rsidRDefault="00323D1F" w:rsidP="009D3A47">
            <w:pPr>
              <w:pStyle w:val="a6"/>
              <w:spacing w:line="240" w:lineRule="exact"/>
              <w:ind w:left="200" w:hangingChars="100" w:hanging="200"/>
              <w:rPr>
                <w:rFonts w:ascii="ＭＳ 明朝"/>
                <w:sz w:val="20"/>
              </w:rPr>
            </w:pPr>
            <w:r w:rsidRPr="00101871">
              <w:rPr>
                <w:rFonts w:ascii="ＭＳ 明朝" w:hint="eastAsia"/>
                <w:sz w:val="20"/>
              </w:rPr>
              <w:t>・</w:t>
            </w:r>
            <w:r w:rsidR="00F67DE4" w:rsidRPr="00101871">
              <w:rPr>
                <w:rFonts w:ascii="ＭＳ 明朝" w:hint="eastAsia"/>
                <w:sz w:val="20"/>
              </w:rPr>
              <w:t xml:space="preserve">　</w:t>
            </w:r>
            <w:r w:rsidRPr="00101871">
              <w:rPr>
                <w:rFonts w:ascii="ＭＳ 明朝" w:hint="eastAsia"/>
                <w:sz w:val="20"/>
              </w:rPr>
              <w:t>適当数のごみ箱を設けること。</w:t>
            </w:r>
          </w:p>
        </w:tc>
      </w:tr>
      <w:tr w:rsidR="00323D1F" w:rsidRPr="00101871" w:rsidTr="002C0B00">
        <w:trPr>
          <w:trHeight w:val="686"/>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観覧室</w:t>
            </w:r>
          </w:p>
        </w:tc>
        <w:tc>
          <w:tcPr>
            <w:tcW w:w="7294" w:type="dxa"/>
            <w:vAlign w:val="center"/>
          </w:tcPr>
          <w:p w:rsidR="00323D1F" w:rsidRPr="00101871" w:rsidRDefault="00323D1F" w:rsidP="009D3A47">
            <w:pPr>
              <w:pStyle w:val="a6"/>
              <w:spacing w:line="240" w:lineRule="exact"/>
              <w:ind w:firstLineChars="100" w:firstLine="200"/>
              <w:rPr>
                <w:rFonts w:ascii="ＭＳ 明朝"/>
                <w:sz w:val="20"/>
              </w:rPr>
            </w:pPr>
            <w:r w:rsidRPr="00101871">
              <w:rPr>
                <w:rFonts w:ascii="ＭＳ 明朝" w:hint="eastAsia"/>
                <w:sz w:val="20"/>
              </w:rPr>
              <w:t>入場者の出入，着席及び移動が容易で，入場者の観覧に支障ない構造設備であり，出入口及び観覧席は衛生上支障ない配置及び構造であること。</w:t>
            </w:r>
          </w:p>
        </w:tc>
      </w:tr>
      <w:tr w:rsidR="00323D1F" w:rsidRPr="00101871" w:rsidTr="002C0B00">
        <w:trPr>
          <w:trHeight w:val="689"/>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換気設備</w:t>
            </w:r>
          </w:p>
        </w:tc>
        <w:tc>
          <w:tcPr>
            <w:tcW w:w="7294" w:type="dxa"/>
            <w:vAlign w:val="center"/>
          </w:tcPr>
          <w:p w:rsidR="00323D1F"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内部の汚染空気を排除する等衛生的空気環境を確保するため，適正な機械換気設備又は空気調和設備を設けること。</w:t>
            </w:r>
          </w:p>
        </w:tc>
      </w:tr>
      <w:tr w:rsidR="00323D1F" w:rsidRPr="00101871" w:rsidTr="002C0B00">
        <w:trPr>
          <w:trHeight w:val="996"/>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照明設備</w:t>
            </w:r>
          </w:p>
        </w:tc>
        <w:tc>
          <w:tcPr>
            <w:tcW w:w="7294" w:type="dxa"/>
            <w:vAlign w:val="center"/>
          </w:tcPr>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入場者の衛生及び興行に支障ない適当な照明機能を有する照明設備を設けること。</w:t>
            </w:r>
          </w:p>
          <w:p w:rsidR="00323D1F"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観覧室には，映写中又は演劇中であっても床面で照度不足にならないような照明設備を設けること。</w:t>
            </w:r>
          </w:p>
        </w:tc>
      </w:tr>
      <w:tr w:rsidR="00323D1F" w:rsidRPr="00101871" w:rsidTr="002C0B00">
        <w:trPr>
          <w:trHeight w:val="2400"/>
          <w:jc w:val="center"/>
        </w:trPr>
        <w:tc>
          <w:tcPr>
            <w:tcW w:w="1162" w:type="dxa"/>
            <w:vAlign w:val="center"/>
          </w:tcPr>
          <w:p w:rsidR="00323D1F" w:rsidRPr="00101871" w:rsidRDefault="00323D1F" w:rsidP="009D3A47">
            <w:pPr>
              <w:pStyle w:val="a6"/>
              <w:spacing w:line="240" w:lineRule="exact"/>
              <w:ind w:left="-71"/>
              <w:jc w:val="center"/>
              <w:rPr>
                <w:rFonts w:ascii="ＭＳ 明朝"/>
                <w:sz w:val="20"/>
              </w:rPr>
            </w:pPr>
            <w:r w:rsidRPr="00101871">
              <w:rPr>
                <w:rFonts w:ascii="ＭＳ 明朝" w:hint="eastAsia"/>
                <w:sz w:val="20"/>
              </w:rPr>
              <w:t>便所</w:t>
            </w:r>
          </w:p>
        </w:tc>
        <w:tc>
          <w:tcPr>
            <w:tcW w:w="7294" w:type="dxa"/>
            <w:vAlign w:val="center"/>
          </w:tcPr>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各階に男女に区分した適当数の便所を設け，入場者にその場所が明らかに分かるよう表示すること。</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便所出入口は，直接観覧室に開口しない構造であること。ただし，手洗場所等次室を設けた水洗便所であって衛生上支障ない場合を除く。</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水洗便所とすること。ただし，やむを得ない場合，窓等開口部に昆虫の侵入を防止する網戸等の設備を設けた改良便所又はくみ取り便所を除く。</w:t>
            </w:r>
          </w:p>
          <w:p w:rsidR="00F67DE4"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清浄な水を供給できる適当数の流水式手洗設備を設けること。</w:t>
            </w:r>
          </w:p>
          <w:p w:rsidR="00323D1F" w:rsidRPr="00101871" w:rsidRDefault="00F67DE4" w:rsidP="009D3A47">
            <w:pPr>
              <w:pStyle w:val="a6"/>
              <w:spacing w:line="240" w:lineRule="exact"/>
              <w:ind w:left="200" w:hangingChars="100" w:hanging="200"/>
              <w:rPr>
                <w:rFonts w:ascii="ＭＳ 明朝"/>
                <w:sz w:val="20"/>
              </w:rPr>
            </w:pPr>
            <w:r w:rsidRPr="00101871">
              <w:rPr>
                <w:rFonts w:ascii="ＭＳ 明朝" w:hint="eastAsia"/>
                <w:sz w:val="20"/>
              </w:rPr>
              <w:t xml:space="preserve">・　</w:t>
            </w:r>
            <w:r w:rsidR="00323D1F" w:rsidRPr="00101871">
              <w:rPr>
                <w:rFonts w:ascii="ＭＳ 明朝" w:hint="eastAsia"/>
                <w:sz w:val="20"/>
              </w:rPr>
              <w:t>床面及び床面から概ね１ｍの高さの内壁は，不浸透性材料で築造し，清掃が容易であること。</w:t>
            </w:r>
          </w:p>
        </w:tc>
      </w:tr>
    </w:tbl>
    <w:p w:rsidR="00297BE1" w:rsidRPr="00101871" w:rsidRDefault="00297BE1" w:rsidP="00874C87">
      <w:pPr>
        <w:pStyle w:val="a3"/>
        <w:rPr>
          <w:b/>
        </w:rPr>
      </w:pPr>
    </w:p>
    <w:sectPr w:rsidR="00297BE1" w:rsidRPr="00101871" w:rsidSect="000D72EC">
      <w:footerReference w:type="default" r:id="rId8"/>
      <w:pgSz w:w="11906" w:h="16838"/>
      <w:pgMar w:top="1985" w:right="1753" w:bottom="1701" w:left="1753"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38" w:rsidRDefault="00846238">
      <w:r>
        <w:separator/>
      </w:r>
    </w:p>
  </w:endnote>
  <w:endnote w:type="continuationSeparator" w:id="0">
    <w:p w:rsidR="00846238" w:rsidRDefault="0084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46" w:rsidRDefault="00B66646" w:rsidP="00B6664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38" w:rsidRDefault="00846238">
      <w:r>
        <w:separator/>
      </w:r>
    </w:p>
  </w:footnote>
  <w:footnote w:type="continuationSeparator" w:id="0">
    <w:p w:rsidR="00846238" w:rsidRDefault="00846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4A1"/>
    <w:multiLevelType w:val="singleLevel"/>
    <w:tmpl w:val="0C64BCEC"/>
    <w:lvl w:ilvl="0">
      <w:start w:val="1"/>
      <w:numFmt w:val="decimalFullWidth"/>
      <w:lvlText w:val="（%1）"/>
      <w:lvlJc w:val="left"/>
      <w:pPr>
        <w:tabs>
          <w:tab w:val="num" w:pos="930"/>
        </w:tabs>
        <w:ind w:left="930" w:hanging="720"/>
      </w:pPr>
      <w:rPr>
        <w:rFonts w:hint="eastAsia"/>
      </w:rPr>
    </w:lvl>
  </w:abstractNum>
  <w:abstractNum w:abstractNumId="1" w15:restartNumberingAfterBreak="0">
    <w:nsid w:val="0C1078B2"/>
    <w:multiLevelType w:val="singleLevel"/>
    <w:tmpl w:val="34FE50DA"/>
    <w:lvl w:ilvl="0">
      <w:numFmt w:val="bullet"/>
      <w:lvlText w:val="◎"/>
      <w:lvlJc w:val="left"/>
      <w:pPr>
        <w:tabs>
          <w:tab w:val="num" w:pos="630"/>
        </w:tabs>
        <w:ind w:left="630" w:hanging="210"/>
      </w:pPr>
      <w:rPr>
        <w:rFonts w:ascii="ＭＳ 明朝" w:eastAsia="ＭＳ 明朝" w:hAnsi="Courier New" w:hint="eastAsia"/>
      </w:rPr>
    </w:lvl>
  </w:abstractNum>
  <w:abstractNum w:abstractNumId="2" w15:restartNumberingAfterBreak="0">
    <w:nsid w:val="163D4674"/>
    <w:multiLevelType w:val="singleLevel"/>
    <w:tmpl w:val="19E493CA"/>
    <w:lvl w:ilvl="0">
      <w:start w:val="1"/>
      <w:numFmt w:val="decimal"/>
      <w:lvlText w:val="（%1）"/>
      <w:lvlJc w:val="left"/>
      <w:pPr>
        <w:tabs>
          <w:tab w:val="num" w:pos="1140"/>
        </w:tabs>
        <w:ind w:left="1140" w:hanging="720"/>
      </w:pPr>
      <w:rPr>
        <w:rFonts w:hint="eastAsia"/>
      </w:rPr>
    </w:lvl>
  </w:abstractNum>
  <w:abstractNum w:abstractNumId="3" w15:restartNumberingAfterBreak="0">
    <w:nsid w:val="17F82B2F"/>
    <w:multiLevelType w:val="singleLevel"/>
    <w:tmpl w:val="AF8CFC6C"/>
    <w:lvl w:ilvl="0">
      <w:start w:val="1"/>
      <w:numFmt w:val="decimalFullWidth"/>
      <w:lvlText w:val="（%1）"/>
      <w:lvlJc w:val="left"/>
      <w:pPr>
        <w:tabs>
          <w:tab w:val="num" w:pos="855"/>
        </w:tabs>
        <w:ind w:left="855" w:hanging="630"/>
      </w:pPr>
      <w:rPr>
        <w:rFonts w:hint="eastAsia"/>
      </w:rPr>
    </w:lvl>
  </w:abstractNum>
  <w:abstractNum w:abstractNumId="4" w15:restartNumberingAfterBreak="0">
    <w:nsid w:val="265A1268"/>
    <w:multiLevelType w:val="singleLevel"/>
    <w:tmpl w:val="A2D09ED4"/>
    <w:lvl w:ilvl="0">
      <w:start w:val="1"/>
      <w:numFmt w:val="decimalFullWidth"/>
      <w:lvlText w:val="（%1）"/>
      <w:lvlJc w:val="left"/>
      <w:pPr>
        <w:tabs>
          <w:tab w:val="num" w:pos="855"/>
        </w:tabs>
        <w:ind w:left="855" w:hanging="630"/>
      </w:pPr>
      <w:rPr>
        <w:rFonts w:hint="eastAsia"/>
      </w:rPr>
    </w:lvl>
  </w:abstractNum>
  <w:abstractNum w:abstractNumId="5" w15:restartNumberingAfterBreak="0">
    <w:nsid w:val="2CA72C0B"/>
    <w:multiLevelType w:val="singleLevel"/>
    <w:tmpl w:val="CD445DC4"/>
    <w:lvl w:ilvl="0">
      <w:start w:val="1"/>
      <w:numFmt w:val="decimal"/>
      <w:lvlText w:val="（%1）"/>
      <w:lvlJc w:val="left"/>
      <w:pPr>
        <w:tabs>
          <w:tab w:val="num" w:pos="1050"/>
        </w:tabs>
        <w:ind w:left="1050" w:hanging="630"/>
      </w:pPr>
      <w:rPr>
        <w:rFonts w:hint="eastAsia"/>
      </w:rPr>
    </w:lvl>
  </w:abstractNum>
  <w:abstractNum w:abstractNumId="6"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7" w15:restartNumberingAfterBreak="0">
    <w:nsid w:val="33935D99"/>
    <w:multiLevelType w:val="singleLevel"/>
    <w:tmpl w:val="02909A18"/>
    <w:lvl w:ilvl="0">
      <w:numFmt w:val="bullet"/>
      <w:lvlText w:val="◆"/>
      <w:lvlJc w:val="left"/>
      <w:pPr>
        <w:tabs>
          <w:tab w:val="num" w:pos="840"/>
        </w:tabs>
        <w:ind w:left="840" w:hanging="420"/>
      </w:pPr>
      <w:rPr>
        <w:rFonts w:ascii="ＭＳ 明朝" w:eastAsia="ＭＳ 明朝" w:hAnsi="Courier New" w:hint="eastAsia"/>
      </w:rPr>
    </w:lvl>
  </w:abstractNum>
  <w:abstractNum w:abstractNumId="8" w15:restartNumberingAfterBreak="0">
    <w:nsid w:val="388B7B1F"/>
    <w:multiLevelType w:val="singleLevel"/>
    <w:tmpl w:val="2FB809C6"/>
    <w:lvl w:ilvl="0">
      <w:start w:val="1"/>
      <w:numFmt w:val="decimal"/>
      <w:lvlText w:val="（%1）"/>
      <w:lvlJc w:val="left"/>
      <w:pPr>
        <w:tabs>
          <w:tab w:val="num" w:pos="1140"/>
        </w:tabs>
        <w:ind w:left="1140" w:hanging="720"/>
      </w:pPr>
      <w:rPr>
        <w:rFonts w:hint="eastAsia"/>
      </w:rPr>
    </w:lvl>
  </w:abstractNum>
  <w:abstractNum w:abstractNumId="9" w15:restartNumberingAfterBreak="0">
    <w:nsid w:val="439A26AA"/>
    <w:multiLevelType w:val="singleLevel"/>
    <w:tmpl w:val="174AC6CC"/>
    <w:lvl w:ilvl="0">
      <w:start w:val="2"/>
      <w:numFmt w:val="decimalFullWidth"/>
      <w:lvlText w:val="%1"/>
      <w:lvlJc w:val="left"/>
      <w:pPr>
        <w:tabs>
          <w:tab w:val="num" w:pos="780"/>
        </w:tabs>
        <w:ind w:left="780" w:hanging="360"/>
      </w:pPr>
      <w:rPr>
        <w:rFonts w:hint="eastAsia"/>
      </w:rPr>
    </w:lvl>
  </w:abstractNum>
  <w:abstractNum w:abstractNumId="10" w15:restartNumberingAfterBreak="0">
    <w:nsid w:val="58C24119"/>
    <w:multiLevelType w:val="singleLevel"/>
    <w:tmpl w:val="3272CC22"/>
    <w:lvl w:ilvl="0">
      <w:start w:val="1"/>
      <w:numFmt w:val="decimalFullWidth"/>
      <w:lvlText w:val="（%1）"/>
      <w:lvlJc w:val="left"/>
      <w:pPr>
        <w:tabs>
          <w:tab w:val="num" w:pos="1050"/>
        </w:tabs>
        <w:ind w:left="1050" w:hanging="840"/>
      </w:pPr>
      <w:rPr>
        <w:rFonts w:hint="eastAsia"/>
      </w:rPr>
    </w:lvl>
  </w:abstractNum>
  <w:abstractNum w:abstractNumId="11" w15:restartNumberingAfterBreak="0">
    <w:nsid w:val="5DC51B11"/>
    <w:multiLevelType w:val="singleLevel"/>
    <w:tmpl w:val="3962CB3A"/>
    <w:lvl w:ilvl="0">
      <w:start w:val="3"/>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15A09B6"/>
    <w:multiLevelType w:val="singleLevel"/>
    <w:tmpl w:val="96781366"/>
    <w:lvl w:ilvl="0">
      <w:start w:val="1"/>
      <w:numFmt w:val="decimal"/>
      <w:lvlText w:val="（%1）"/>
      <w:lvlJc w:val="left"/>
      <w:pPr>
        <w:tabs>
          <w:tab w:val="num" w:pos="840"/>
        </w:tabs>
        <w:ind w:left="840" w:hanging="630"/>
      </w:pPr>
      <w:rPr>
        <w:rFonts w:hint="eastAsia"/>
      </w:rPr>
    </w:lvl>
  </w:abstractNum>
  <w:abstractNum w:abstractNumId="13" w15:restartNumberingAfterBreak="0">
    <w:nsid w:val="626E5913"/>
    <w:multiLevelType w:val="singleLevel"/>
    <w:tmpl w:val="E86E88A2"/>
    <w:lvl w:ilvl="0">
      <w:numFmt w:val="bullet"/>
      <w:lvlText w:val="□"/>
      <w:lvlJc w:val="left"/>
      <w:pPr>
        <w:tabs>
          <w:tab w:val="num" w:pos="420"/>
        </w:tabs>
        <w:ind w:left="420" w:hanging="420"/>
      </w:pPr>
      <w:rPr>
        <w:rFonts w:ascii="ＭＳ 明朝" w:eastAsia="ＭＳ 明朝" w:hAnsi="Century" w:hint="eastAsia"/>
      </w:rPr>
    </w:lvl>
  </w:abstractNum>
  <w:abstractNum w:abstractNumId="14" w15:restartNumberingAfterBreak="0">
    <w:nsid w:val="64E03A63"/>
    <w:multiLevelType w:val="singleLevel"/>
    <w:tmpl w:val="4392C720"/>
    <w:lvl w:ilvl="0">
      <w:start w:val="1"/>
      <w:numFmt w:val="decimal"/>
      <w:lvlText w:val="（%1）"/>
      <w:lvlJc w:val="left"/>
      <w:pPr>
        <w:tabs>
          <w:tab w:val="num" w:pos="1065"/>
        </w:tabs>
        <w:ind w:left="1065" w:hanging="630"/>
      </w:pPr>
      <w:rPr>
        <w:rFonts w:hint="eastAsia"/>
      </w:rPr>
    </w:lvl>
  </w:abstractNum>
  <w:abstractNum w:abstractNumId="15" w15:restartNumberingAfterBreak="0">
    <w:nsid w:val="6A3964CB"/>
    <w:multiLevelType w:val="singleLevel"/>
    <w:tmpl w:val="F9CA659E"/>
    <w:lvl w:ilvl="0">
      <w:start w:val="1"/>
      <w:numFmt w:val="decimalEnclosedCircle"/>
      <w:lvlText w:val="%1"/>
      <w:lvlJc w:val="left"/>
      <w:pPr>
        <w:tabs>
          <w:tab w:val="num" w:pos="681"/>
        </w:tabs>
        <w:ind w:left="681" w:hanging="420"/>
      </w:pPr>
      <w:rPr>
        <w:rFonts w:hint="eastAsia"/>
      </w:rPr>
    </w:lvl>
  </w:abstractNum>
  <w:abstractNum w:abstractNumId="16" w15:restartNumberingAfterBreak="0">
    <w:nsid w:val="70FA77B4"/>
    <w:multiLevelType w:val="singleLevel"/>
    <w:tmpl w:val="06BA6708"/>
    <w:lvl w:ilvl="0">
      <w:numFmt w:val="bullet"/>
      <w:lvlText w:val="◇"/>
      <w:lvlJc w:val="left"/>
      <w:pPr>
        <w:tabs>
          <w:tab w:val="num" w:pos="630"/>
        </w:tabs>
        <w:ind w:left="630" w:hanging="210"/>
      </w:pPr>
      <w:rPr>
        <w:rFonts w:ascii="ＭＳ 明朝" w:eastAsia="ＭＳ 明朝" w:hAnsi="Courier New" w:hint="eastAsia"/>
      </w:rPr>
    </w:lvl>
  </w:abstractNum>
  <w:abstractNum w:abstractNumId="17"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18" w15:restartNumberingAfterBreak="0">
    <w:nsid w:val="7C4D6A5D"/>
    <w:multiLevelType w:val="singleLevel"/>
    <w:tmpl w:val="6B5E7666"/>
    <w:lvl w:ilvl="0">
      <w:start w:val="1"/>
      <w:numFmt w:val="decimalFullWidth"/>
      <w:lvlText w:val="（%1）"/>
      <w:lvlJc w:val="left"/>
      <w:pPr>
        <w:tabs>
          <w:tab w:val="num" w:pos="840"/>
        </w:tabs>
        <w:ind w:left="840" w:hanging="630"/>
      </w:pPr>
      <w:rPr>
        <w:rFonts w:hint="eastAsia"/>
      </w:rPr>
    </w:lvl>
  </w:abstractNum>
  <w:abstractNum w:abstractNumId="19"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num w:numId="1">
    <w:abstractNumId w:val="16"/>
  </w:num>
  <w:num w:numId="2">
    <w:abstractNumId w:val="1"/>
  </w:num>
  <w:num w:numId="3">
    <w:abstractNumId w:val="15"/>
  </w:num>
  <w:num w:numId="4">
    <w:abstractNumId w:val="10"/>
  </w:num>
  <w:num w:numId="5">
    <w:abstractNumId w:val="13"/>
  </w:num>
  <w:num w:numId="6">
    <w:abstractNumId w:val="7"/>
  </w:num>
  <w:num w:numId="7">
    <w:abstractNumId w:val="12"/>
  </w:num>
  <w:num w:numId="8">
    <w:abstractNumId w:val="19"/>
  </w:num>
  <w:num w:numId="9">
    <w:abstractNumId w:val="6"/>
  </w:num>
  <w:num w:numId="10">
    <w:abstractNumId w:val="17"/>
  </w:num>
  <w:num w:numId="11">
    <w:abstractNumId w:val="14"/>
  </w:num>
  <w:num w:numId="12">
    <w:abstractNumId w:val="5"/>
  </w:num>
  <w:num w:numId="13">
    <w:abstractNumId w:val="2"/>
  </w:num>
  <w:num w:numId="14">
    <w:abstractNumId w:val="8"/>
  </w:num>
  <w:num w:numId="15">
    <w:abstractNumId w:val="9"/>
  </w:num>
  <w:num w:numId="16">
    <w:abstractNumId w:val="0"/>
  </w:num>
  <w:num w:numId="17">
    <w:abstractNumId w:val="3"/>
  </w:num>
  <w:num w:numId="18">
    <w:abstractNumId w:val="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EB"/>
    <w:rsid w:val="00011935"/>
    <w:rsid w:val="00036CF6"/>
    <w:rsid w:val="000647CF"/>
    <w:rsid w:val="00071458"/>
    <w:rsid w:val="0009683D"/>
    <w:rsid w:val="000C56D2"/>
    <w:rsid w:val="000D72EC"/>
    <w:rsid w:val="00101871"/>
    <w:rsid w:val="001116F1"/>
    <w:rsid w:val="00111FED"/>
    <w:rsid w:val="0011386E"/>
    <w:rsid w:val="001A441B"/>
    <w:rsid w:val="00244DC8"/>
    <w:rsid w:val="00245AC5"/>
    <w:rsid w:val="00297BE1"/>
    <w:rsid w:val="002B71F9"/>
    <w:rsid w:val="002C0B00"/>
    <w:rsid w:val="00323D1F"/>
    <w:rsid w:val="004A19BD"/>
    <w:rsid w:val="004C1A7B"/>
    <w:rsid w:val="004D3FC5"/>
    <w:rsid w:val="00523592"/>
    <w:rsid w:val="00556DBB"/>
    <w:rsid w:val="00564F3E"/>
    <w:rsid w:val="005F6478"/>
    <w:rsid w:val="00617AF4"/>
    <w:rsid w:val="006335EB"/>
    <w:rsid w:val="00661FCA"/>
    <w:rsid w:val="0067637E"/>
    <w:rsid w:val="006E1682"/>
    <w:rsid w:val="00705653"/>
    <w:rsid w:val="00777C96"/>
    <w:rsid w:val="00846238"/>
    <w:rsid w:val="00874C87"/>
    <w:rsid w:val="008D5D33"/>
    <w:rsid w:val="009D3A47"/>
    <w:rsid w:val="009E5DDE"/>
    <w:rsid w:val="00A23632"/>
    <w:rsid w:val="00B56C8B"/>
    <w:rsid w:val="00B66646"/>
    <w:rsid w:val="00B80133"/>
    <w:rsid w:val="00B87CD8"/>
    <w:rsid w:val="00B96E2B"/>
    <w:rsid w:val="00BB4A94"/>
    <w:rsid w:val="00BD6091"/>
    <w:rsid w:val="00C07BF2"/>
    <w:rsid w:val="00C95E89"/>
    <w:rsid w:val="00CF5C57"/>
    <w:rsid w:val="00D53B6E"/>
    <w:rsid w:val="00E247DD"/>
    <w:rsid w:val="00E27120"/>
    <w:rsid w:val="00E67BD8"/>
    <w:rsid w:val="00E77005"/>
    <w:rsid w:val="00EC71E4"/>
    <w:rsid w:val="00ED7692"/>
    <w:rsid w:val="00F13310"/>
    <w:rsid w:val="00F673BD"/>
    <w:rsid w:val="00F6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6370373"/>
  <w15:chartTrackingRefBased/>
  <w15:docId w15:val="{0B2443F7-EBDF-493E-A5EF-C1B807D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Indent"/>
    <w:basedOn w:val="a"/>
    <w:pPr>
      <w:ind w:firstLine="26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Indent 2"/>
    <w:basedOn w:val="a"/>
    <w:pPr>
      <w:ind w:left="261" w:hanging="180"/>
    </w:pPr>
    <w:rPr>
      <w:rFonts w:ascii="ＭＳ 明朝"/>
      <w:color w:val="000000"/>
    </w:rPr>
  </w:style>
  <w:style w:type="character" w:customStyle="1" w:styleId="a7">
    <w:name w:val="フッター (文字)"/>
    <w:link w:val="a6"/>
    <w:uiPriority w:val="99"/>
    <w:rsid w:val="00323D1F"/>
    <w:rPr>
      <w:kern w:val="2"/>
      <w:sz w:val="21"/>
    </w:rPr>
  </w:style>
  <w:style w:type="character" w:customStyle="1" w:styleId="a4">
    <w:name w:val="書式なし (文字)"/>
    <w:link w:val="a3"/>
    <w:rsid w:val="00B87CD8"/>
    <w:rPr>
      <w:rFonts w:ascii="ＭＳ 明朝" w:hAnsi="Courier New"/>
      <w:kern w:val="2"/>
      <w:sz w:val="21"/>
    </w:rPr>
  </w:style>
  <w:style w:type="paragraph" w:styleId="aa">
    <w:name w:val="Balloon Text"/>
    <w:basedOn w:val="a"/>
    <w:link w:val="ab"/>
    <w:rsid w:val="0011386E"/>
    <w:rPr>
      <w:rFonts w:asciiTheme="majorHAnsi" w:eastAsiaTheme="majorEastAsia" w:hAnsiTheme="majorHAnsi" w:cstheme="majorBidi"/>
      <w:sz w:val="18"/>
      <w:szCs w:val="18"/>
    </w:rPr>
  </w:style>
  <w:style w:type="character" w:customStyle="1" w:styleId="ab">
    <w:name w:val="吹き出し (文字)"/>
    <w:basedOn w:val="a0"/>
    <w:link w:val="aa"/>
    <w:rsid w:val="001138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47DE-69B4-40D6-BC99-D01898C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興行場法関係</vt:lpstr>
      <vt:lpstr>興行場法関係</vt:lpstr>
    </vt:vector>
  </TitlesOfParts>
  <Company>ＦＭユーザ</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興行場法関係</dc:title>
  <dc:subject/>
  <dc:creator>ＦＭＶユーザ</dc:creator>
  <cp:keywords/>
  <cp:lastModifiedBy>中村 貴啓</cp:lastModifiedBy>
  <cp:revision>2</cp:revision>
  <cp:lastPrinted>2022-03-28T04:36:00Z</cp:lastPrinted>
  <dcterms:created xsi:type="dcterms:W3CDTF">2022-03-28T04:40:00Z</dcterms:created>
  <dcterms:modified xsi:type="dcterms:W3CDTF">2022-03-28T04:40:00Z</dcterms:modified>
</cp:coreProperties>
</file>